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2022/86 vom 17. Januar 2023</w:t>
      </w:r>
    </w:p>
    <w:p>
      <w:r>
        <w:t>Sg Versicherungsgericht, 2023-01-17, DE</w:t>
      </w:r>
    </w:p>
    <w:p>
      <w:r>
        <w:rPr>
          <w:b/>
        </w:rPr>
        <w:t xml:space="preserve">Quelle: </w:t>
      </w:r>
      <w:r>
        <w:t>https://mcp.opencaselaw.ch/entscheid/sg_publikationen_IV 2022_86</w:t>
      </w:r>
    </w:p>
    <w:p>
      <w:r>
        <w:t>FR: SG_VERSICHERUNGSGERICHT IV 2022/86 du 17 janvier 2023</w:t>
      </w:r>
    </w:p>
    <w:p>
      <w:r>
        <w:t>IT: SG_VERSICHERUNGSGERICHT IV 2022/86 del 17 gennaio 2023</w:t>
      </w:r>
    </w:p>
    <w:p>
      <w:pPr>
        <w:pStyle w:val="Heading2"/>
      </w:pPr>
      <w:r>
        <w:t>Regeste</w:t>
      </w:r>
    </w:p>
    <w:p>
      <w:r>
        <w:t>Art. 28 IVG. Art. 16 ATSG. Rente der Invalidenversicherung. Würdigung eines polydisziplinären Administrativgutachtens (Entscheid des Versicherungsgerichts des Kantons St. Gallen vom 17. Januar 2023, IV 2022/86).</w:t>
      </w:r>
    </w:p>
    <w:p>
      <w:pPr>
        <w:pStyle w:val="Heading2"/>
      </w:pPr>
      <w:r>
        <w:t>Erwägungen</w:t>
      </w:r>
    </w:p>
    <w:p>
      <w:r>
        <w:rPr>
          <w:b/>
        </w:rPr>
        <w:t>E. 37</w:t>
      </w:r>
    </w:p>
    <w:p>
      <w:r>
        <w:t>Prozent (= 100% – 90% × 70%). Da erst ab einem Invaliditätsgrad von mindestens 40 Prozent ein Anspruch auf eine Rente besteht, erweist sich die angefochtene Verfügung als rechtmässig, weshalb die Beschwerde abzuweisen ist. Die angesichts des durchschnittlichen Verfahrensaufwandes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